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AA81E" w14:textId="52D4ADB5" w:rsidR="00D907FE" w:rsidRDefault="00E92E12" w:rsidP="00C9243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cs="Times New Roman"/>
          <w:b/>
          <w:bCs/>
          <w:sz w:val="36"/>
          <w:szCs w:val="36"/>
        </w:rPr>
      </w:pPr>
      <w:r>
        <w:rPr>
          <w:rFonts w:ascii="Calibri" w:hAnsi="Calibri"/>
          <w:b/>
          <w:noProof/>
          <w:color w:val="000000"/>
          <w:sz w:val="28"/>
          <w:szCs w:val="28"/>
        </w:rPr>
        <w:t>F</w:t>
      </w:r>
      <w:r w:rsidRPr="00FF7A83">
        <w:rPr>
          <w:rFonts w:ascii="Calibri" w:hAnsi="Calibri"/>
          <w:b/>
          <w:noProof/>
          <w:color w:val="000000"/>
          <w:sz w:val="28"/>
          <w:szCs w:val="28"/>
        </w:rPr>
        <w:t xml:space="preserve">ourniture de </w:t>
      </w:r>
      <w:r>
        <w:rPr>
          <w:rFonts w:ascii="Calibri" w:hAnsi="Calibri"/>
          <w:b/>
          <w:noProof/>
          <w:color w:val="000000"/>
          <w:sz w:val="28"/>
          <w:szCs w:val="28"/>
        </w:rPr>
        <w:t>D</w:t>
      </w:r>
      <w:r w:rsidRPr="00FF7A83">
        <w:rPr>
          <w:rFonts w:ascii="Calibri" w:hAnsi="Calibri"/>
          <w:b/>
          <w:noProof/>
          <w:color w:val="000000"/>
          <w:sz w:val="28"/>
          <w:szCs w:val="28"/>
        </w:rPr>
        <w:t xml:space="preserve">ispositifs </w:t>
      </w:r>
      <w:r>
        <w:rPr>
          <w:rFonts w:ascii="Calibri" w:hAnsi="Calibri"/>
          <w:b/>
          <w:noProof/>
          <w:color w:val="000000"/>
          <w:sz w:val="28"/>
          <w:szCs w:val="28"/>
        </w:rPr>
        <w:t>M</w:t>
      </w:r>
      <w:r w:rsidRPr="00FF7A83">
        <w:rPr>
          <w:rFonts w:ascii="Calibri" w:hAnsi="Calibri"/>
          <w:b/>
          <w:noProof/>
          <w:color w:val="000000"/>
          <w:sz w:val="28"/>
          <w:szCs w:val="28"/>
        </w:rPr>
        <w:t>édicaux pour ELECTROPHYSIOLOGIE, électrodes de stimulation myocardique, aiguilles pour électromyographie (EMG), aiguil</w:t>
      </w:r>
      <w:r>
        <w:rPr>
          <w:rFonts w:ascii="Calibri" w:hAnsi="Calibri"/>
          <w:b/>
          <w:noProof/>
          <w:color w:val="000000"/>
          <w:sz w:val="28"/>
          <w:szCs w:val="28"/>
        </w:rPr>
        <w:t xml:space="preserve">les pour électroencéphalogramme </w:t>
      </w:r>
      <w:r w:rsidRPr="00FF7A83">
        <w:rPr>
          <w:rFonts w:ascii="Calibri" w:hAnsi="Calibri"/>
          <w:b/>
          <w:noProof/>
          <w:color w:val="000000"/>
          <w:sz w:val="28"/>
          <w:szCs w:val="28"/>
        </w:rPr>
        <w:t xml:space="preserve">(EEG) </w:t>
      </w:r>
      <w:r w:rsidRPr="009640FB">
        <w:rPr>
          <w:rFonts w:ascii="Calibri" w:hAnsi="Calibri"/>
          <w:b/>
          <w:noProof/>
          <w:color w:val="000000"/>
          <w:sz w:val="28"/>
          <w:szCs w:val="28"/>
        </w:rPr>
        <w:t>et potentiels évoqués (PE)</w:t>
      </w:r>
    </w:p>
    <w:p w14:paraId="6ED2B33C" w14:textId="77777777" w:rsidR="00E92E12" w:rsidRDefault="00E92E12" w:rsidP="00C9243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cs="Times New Roman"/>
          <w:bCs/>
          <w:sz w:val="24"/>
          <w:szCs w:val="36"/>
        </w:rPr>
      </w:pPr>
    </w:p>
    <w:p w14:paraId="74D06EBF" w14:textId="2A53E05A" w:rsidR="002B35E8" w:rsidRDefault="00F257C2" w:rsidP="00C9243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cs="Times New Roman"/>
          <w:bCs/>
          <w:sz w:val="24"/>
          <w:szCs w:val="36"/>
        </w:rPr>
      </w:pPr>
      <w:r>
        <w:rPr>
          <w:rFonts w:cs="Times New Roman"/>
          <w:bCs/>
          <w:sz w:val="24"/>
          <w:szCs w:val="36"/>
        </w:rPr>
        <w:t>Procédure N°</w:t>
      </w:r>
      <w:r w:rsidR="002B35E8" w:rsidRPr="002B35E8">
        <w:rPr>
          <w:rFonts w:cs="Times New Roman"/>
          <w:bCs/>
          <w:sz w:val="24"/>
          <w:szCs w:val="36"/>
        </w:rPr>
        <w:t>FL</w:t>
      </w:r>
      <w:r>
        <w:rPr>
          <w:rFonts w:cs="Times New Roman"/>
          <w:bCs/>
          <w:sz w:val="24"/>
          <w:szCs w:val="36"/>
        </w:rPr>
        <w:t>NE</w:t>
      </w:r>
      <w:r w:rsidR="00E92E12">
        <w:rPr>
          <w:rFonts w:cs="Times New Roman"/>
          <w:bCs/>
          <w:sz w:val="24"/>
          <w:szCs w:val="36"/>
        </w:rPr>
        <w:t xml:space="preserve"> 2025_16</w:t>
      </w:r>
    </w:p>
    <w:p w14:paraId="212F5B77" w14:textId="77777777" w:rsidR="00E92E12" w:rsidRPr="002B35E8" w:rsidRDefault="00E92E12" w:rsidP="00C9243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cs="Times New Roman"/>
          <w:bCs/>
          <w:sz w:val="24"/>
          <w:szCs w:val="36"/>
        </w:rPr>
      </w:pPr>
    </w:p>
    <w:p w14:paraId="7B358C25" w14:textId="77777777" w:rsidR="00346DE6" w:rsidRDefault="00346DE6"/>
    <w:p w14:paraId="504E63E6" w14:textId="6CD61C06" w:rsidR="00A97A86" w:rsidRDefault="00346DE6" w:rsidP="00E500F9">
      <w:r>
        <w:t>Nom du fournisseur : …………………</w:t>
      </w:r>
      <w:r w:rsidR="00E500F9">
        <w:t>…………………………………………</w:t>
      </w:r>
      <w:r w:rsidR="00E500F9">
        <w:tab/>
      </w:r>
      <w:r w:rsidR="00E500F9">
        <w:tab/>
      </w:r>
      <w:r w:rsidR="00E500F9">
        <w:tab/>
      </w:r>
      <w:r w:rsidR="00E500F9">
        <w:tab/>
      </w:r>
      <w:r w:rsidR="00E500F9">
        <w:tab/>
      </w:r>
      <w:r w:rsidR="00E500F9">
        <w:tab/>
        <w:t>N° du lot </w:t>
      </w:r>
      <w:r w:rsidR="00A45BCC">
        <w:t xml:space="preserve">(une fiche par lot) </w:t>
      </w:r>
      <w:r w:rsidR="00E500F9">
        <w:t>: ……………………</w:t>
      </w:r>
    </w:p>
    <w:p w14:paraId="4945EFC3" w14:textId="6A04D166" w:rsidR="00F00C00" w:rsidRDefault="00A97A86" w:rsidP="008F0E5C">
      <w:pPr>
        <w:jc w:val="center"/>
        <w:rPr>
          <w:i/>
        </w:rPr>
      </w:pPr>
      <w:r w:rsidRPr="00A97A86">
        <w:rPr>
          <w:i/>
        </w:rPr>
        <w:t>Les remises proposées ici seront prises en compte dans le calcul de la not</w:t>
      </w:r>
      <w:r w:rsidR="00971918">
        <w:rPr>
          <w:i/>
        </w:rPr>
        <w:t>ation</w:t>
      </w:r>
      <w:r w:rsidRPr="00A97A86">
        <w:rPr>
          <w:i/>
        </w:rPr>
        <w:t>, conformément à l’article 15 du Règlement de Consultation.</w:t>
      </w:r>
    </w:p>
    <w:p w14:paraId="1B0BE994" w14:textId="77777777" w:rsidR="00A97A86" w:rsidRPr="000D41CC" w:rsidRDefault="00A97A86" w:rsidP="000D41CC">
      <w:pPr>
        <w:rPr>
          <w:b/>
          <w:sz w:val="24"/>
          <w:u w:val="single"/>
        </w:rPr>
      </w:pPr>
      <w:r w:rsidRPr="000D41CC">
        <w:rPr>
          <w:b/>
          <w:sz w:val="24"/>
          <w:u w:val="single"/>
        </w:rPr>
        <w:t>1) Escomptes pour paiement rapide</w:t>
      </w:r>
    </w:p>
    <w:p w14:paraId="330C8F29" w14:textId="75CEA69D" w:rsidR="006965AD" w:rsidRDefault="00A97A86" w:rsidP="00971918">
      <w:pPr>
        <w:jc w:val="both"/>
      </w:pPr>
      <w:r w:rsidRPr="00CA74C5">
        <w:rPr>
          <w:u w:val="single"/>
        </w:rPr>
        <w:t>Notice</w:t>
      </w:r>
      <w:r w:rsidRPr="00CA74C5">
        <w:t xml:space="preserve"> :</w:t>
      </w:r>
      <w:r>
        <w:t xml:space="preserve"> Le candidat propose dans le tableau ci-dessous des</w:t>
      </w:r>
      <w:r w:rsidR="00EB4B77">
        <w:t xml:space="preserve"> taux d’escompte </w:t>
      </w:r>
      <w:r>
        <w:t>au regard de</w:t>
      </w:r>
      <w:r w:rsidR="006679AE">
        <w:t>s</w:t>
      </w:r>
      <w:r>
        <w:t xml:space="preserve"> </w:t>
      </w:r>
      <w:r w:rsidR="00EB4B77">
        <w:t>délais de paiement</w:t>
      </w:r>
      <w:r>
        <w:t xml:space="preserve">. Il est attendu </w:t>
      </w:r>
      <w:r w:rsidR="00F00C00">
        <w:t>2 paliers</w:t>
      </w:r>
      <w:r w:rsidR="00971918">
        <w:t xml:space="preserve"> </w:t>
      </w:r>
      <w:r w:rsidR="006965AD">
        <w:t xml:space="preserve">de </w:t>
      </w:r>
      <w:r w:rsidR="00971918">
        <w:t>délais</w:t>
      </w:r>
      <w:r w:rsidR="006965AD">
        <w:t xml:space="preserve"> différents</w:t>
      </w:r>
      <w:r>
        <w:t>.</w:t>
      </w:r>
      <w:r w:rsidR="00971918">
        <w:t xml:space="preserve"> Ces conditi</w:t>
      </w:r>
      <w:r w:rsidR="008F0E5C">
        <w:t>ons contractuelles, s’applique</w:t>
      </w:r>
      <w:r w:rsidR="00971918">
        <w:t xml:space="preserve">nt chaque fois que </w:t>
      </w:r>
      <w:r w:rsidR="00F00C00">
        <w:t>le CHU de Rennes</w:t>
      </w:r>
      <w:r w:rsidR="008F0E5C">
        <w:t xml:space="preserve"> honore</w:t>
      </w:r>
      <w:r w:rsidR="00F00C00">
        <w:t xml:space="preserve"> les paiements sous les délais indiqué</w:t>
      </w:r>
      <w:r w:rsidR="00971918">
        <w:t>s ou plus courts. Elles n’e</w:t>
      </w:r>
      <w:r w:rsidR="008F0E5C">
        <w:t>mportent pas obligation pour le CHU de Rennes</w:t>
      </w:r>
      <w:r w:rsidR="00971918">
        <w:t xml:space="preserve"> de respecter ce(s) délai(s) dérogato</w:t>
      </w:r>
      <w:bookmarkStart w:id="0" w:name="_GoBack"/>
      <w:bookmarkEnd w:id="0"/>
      <w:r w:rsidR="00971918">
        <w:t>ire(s) même s’il s’y efforcera.</w:t>
      </w:r>
      <w:r w:rsidR="006965AD">
        <w:t xml:space="preserve"> </w:t>
      </w:r>
      <w:r w:rsidR="00971918">
        <w:t xml:space="preserve">L’acquittement du montant de l’escompte se fait par règlement de l’état des sommes dues dont les modalités de paiement sont précisées sur le titre de recettes, suivant un relevé des délais de paiement par facture. </w:t>
      </w:r>
    </w:p>
    <w:tbl>
      <w:tblPr>
        <w:tblW w:w="9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86"/>
        <w:gridCol w:w="5280"/>
        <w:gridCol w:w="2511"/>
      </w:tblGrid>
      <w:tr w:rsidR="0053537C" w:rsidRPr="00B42B0F" w14:paraId="2314F63A" w14:textId="77777777" w:rsidTr="00500F08">
        <w:trPr>
          <w:trHeight w:val="648"/>
          <w:jc w:val="center"/>
        </w:trPr>
        <w:tc>
          <w:tcPr>
            <w:tcW w:w="2086" w:type="dxa"/>
            <w:vAlign w:val="center"/>
          </w:tcPr>
          <w:p w14:paraId="03DCDACF" w14:textId="77777777" w:rsidR="0053537C" w:rsidRDefault="0053537C" w:rsidP="004950C2">
            <w:pPr>
              <w:spacing w:after="0"/>
              <w:jc w:val="center"/>
              <w:rPr>
                <w:rFonts w:ascii="Calibri" w:hAnsi="Calibri" w:cs="Calibri"/>
                <w:b/>
                <w:bCs/>
                <w:color w:val="000000"/>
              </w:rPr>
            </w:pPr>
            <w:r>
              <w:rPr>
                <w:rFonts w:ascii="Calibri" w:hAnsi="Calibri" w:cs="Calibri"/>
                <w:b/>
                <w:bCs/>
                <w:color w:val="000000"/>
              </w:rPr>
              <w:t>Paliers</w:t>
            </w:r>
          </w:p>
        </w:tc>
        <w:tc>
          <w:tcPr>
            <w:tcW w:w="5280" w:type="dxa"/>
            <w:shd w:val="clear" w:color="auto" w:fill="auto"/>
            <w:vAlign w:val="center"/>
            <w:hideMark/>
          </w:tcPr>
          <w:p w14:paraId="4AC2F28B" w14:textId="77777777" w:rsidR="0053537C" w:rsidRPr="00CE3859" w:rsidRDefault="0053537C" w:rsidP="004950C2">
            <w:pPr>
              <w:spacing w:after="0"/>
              <w:jc w:val="center"/>
              <w:rPr>
                <w:rFonts w:ascii="Calibri" w:hAnsi="Calibri" w:cs="Calibri"/>
                <w:b/>
                <w:bCs/>
                <w:color w:val="000000"/>
              </w:rPr>
            </w:pPr>
            <w:r>
              <w:rPr>
                <w:rFonts w:ascii="Calibri" w:hAnsi="Calibri" w:cs="Calibri"/>
                <w:b/>
                <w:bCs/>
                <w:color w:val="000000"/>
              </w:rPr>
              <w:t>Délais de paiement</w:t>
            </w:r>
          </w:p>
        </w:tc>
        <w:tc>
          <w:tcPr>
            <w:tcW w:w="2511" w:type="dxa"/>
            <w:shd w:val="clear" w:color="auto" w:fill="auto"/>
            <w:vAlign w:val="center"/>
            <w:hideMark/>
          </w:tcPr>
          <w:p w14:paraId="33DF92F1" w14:textId="77777777" w:rsidR="0053537C" w:rsidRPr="00B42B0F" w:rsidRDefault="0053537C" w:rsidP="004950C2">
            <w:pPr>
              <w:spacing w:after="0"/>
              <w:jc w:val="center"/>
              <w:rPr>
                <w:rFonts w:ascii="Calibri" w:hAnsi="Calibri" w:cs="Calibri"/>
                <w:b/>
                <w:bCs/>
                <w:color w:val="000000"/>
              </w:rPr>
            </w:pPr>
            <w:r>
              <w:rPr>
                <w:rFonts w:ascii="Calibri" w:hAnsi="Calibri" w:cs="Calibri"/>
                <w:b/>
                <w:bCs/>
                <w:color w:val="000000"/>
              </w:rPr>
              <w:t>Taux d’escompte</w:t>
            </w:r>
            <w:r w:rsidRPr="00CE3859">
              <w:rPr>
                <w:rFonts w:ascii="Calibri" w:hAnsi="Calibri" w:cs="Calibri"/>
                <w:b/>
                <w:bCs/>
                <w:color w:val="000000"/>
              </w:rPr>
              <w:t xml:space="preserve"> </w:t>
            </w:r>
            <w:r>
              <w:rPr>
                <w:rFonts w:ascii="Calibri" w:hAnsi="Calibri" w:cs="Calibri"/>
                <w:b/>
                <w:bCs/>
                <w:color w:val="000000"/>
              </w:rPr>
              <w:t>en %</w:t>
            </w:r>
          </w:p>
        </w:tc>
      </w:tr>
      <w:tr w:rsidR="0053537C" w:rsidRPr="00B42B0F" w14:paraId="1AEC535C" w14:textId="77777777" w:rsidTr="00500F08">
        <w:trPr>
          <w:trHeight w:val="556"/>
          <w:jc w:val="center"/>
        </w:trPr>
        <w:tc>
          <w:tcPr>
            <w:tcW w:w="2086" w:type="dxa"/>
            <w:vAlign w:val="center"/>
          </w:tcPr>
          <w:p w14:paraId="7636DE44" w14:textId="77777777" w:rsidR="0053537C" w:rsidRDefault="0053537C" w:rsidP="004950C2">
            <w:pPr>
              <w:spacing w:after="0"/>
              <w:jc w:val="center"/>
              <w:rPr>
                <w:rFonts w:ascii="Calibri" w:hAnsi="Calibri" w:cs="Calibri"/>
                <w:color w:val="000000"/>
              </w:rPr>
            </w:pPr>
            <w:r>
              <w:rPr>
                <w:rFonts w:ascii="Calibri" w:hAnsi="Calibri" w:cs="Calibri"/>
                <w:color w:val="000000"/>
              </w:rPr>
              <w:t>Palier 2</w:t>
            </w:r>
          </w:p>
        </w:tc>
        <w:tc>
          <w:tcPr>
            <w:tcW w:w="5280" w:type="dxa"/>
            <w:shd w:val="clear" w:color="auto" w:fill="auto"/>
            <w:noWrap/>
            <w:vAlign w:val="center"/>
            <w:hideMark/>
          </w:tcPr>
          <w:p w14:paraId="31F9D6AF" w14:textId="77777777" w:rsidR="0053537C" w:rsidRPr="00C703C2" w:rsidRDefault="0053537C" w:rsidP="004950C2">
            <w:pPr>
              <w:spacing w:after="0"/>
              <w:jc w:val="center"/>
              <w:rPr>
                <w:rFonts w:ascii="Calibri" w:hAnsi="Calibri" w:cs="Calibri"/>
                <w:color w:val="000000"/>
              </w:rPr>
            </w:pPr>
            <w:r>
              <w:rPr>
                <w:rFonts w:ascii="Calibri" w:hAnsi="Calibri" w:cs="Calibri"/>
                <w:color w:val="000000"/>
              </w:rPr>
              <w:t>Avant …</w:t>
            </w:r>
            <w:proofErr w:type="gramStart"/>
            <w:r>
              <w:rPr>
                <w:rFonts w:ascii="Calibri" w:hAnsi="Calibri" w:cs="Calibri"/>
                <w:color w:val="000000"/>
              </w:rPr>
              <w:t>…….</w:t>
            </w:r>
            <w:proofErr w:type="gramEnd"/>
            <w:r>
              <w:rPr>
                <w:rFonts w:ascii="Calibri" w:hAnsi="Calibri" w:cs="Calibri"/>
                <w:color w:val="000000"/>
              </w:rPr>
              <w:t>………. jours</w:t>
            </w:r>
          </w:p>
        </w:tc>
        <w:tc>
          <w:tcPr>
            <w:tcW w:w="2511" w:type="dxa"/>
            <w:shd w:val="clear" w:color="auto" w:fill="auto"/>
            <w:noWrap/>
            <w:vAlign w:val="center"/>
          </w:tcPr>
          <w:p w14:paraId="58ADB457" w14:textId="77777777" w:rsidR="0053537C" w:rsidRPr="00B42B0F" w:rsidRDefault="0053537C" w:rsidP="004950C2">
            <w:pPr>
              <w:spacing w:after="0"/>
              <w:jc w:val="center"/>
              <w:rPr>
                <w:rFonts w:ascii="Calibri" w:hAnsi="Calibri" w:cs="Calibri"/>
                <w:color w:val="000000"/>
              </w:rPr>
            </w:pPr>
          </w:p>
        </w:tc>
      </w:tr>
      <w:tr w:rsidR="0053537C" w:rsidRPr="00B42B0F" w14:paraId="211F4484" w14:textId="77777777" w:rsidTr="00500F08">
        <w:trPr>
          <w:trHeight w:val="642"/>
          <w:jc w:val="center"/>
        </w:trPr>
        <w:tc>
          <w:tcPr>
            <w:tcW w:w="2086" w:type="dxa"/>
            <w:vAlign w:val="center"/>
          </w:tcPr>
          <w:p w14:paraId="7746BD85" w14:textId="77777777" w:rsidR="0053537C" w:rsidRDefault="0053537C" w:rsidP="004950C2">
            <w:pPr>
              <w:spacing w:after="0"/>
              <w:jc w:val="center"/>
              <w:rPr>
                <w:rFonts w:ascii="Calibri" w:hAnsi="Calibri" w:cs="Calibri"/>
                <w:color w:val="000000"/>
              </w:rPr>
            </w:pPr>
            <w:r>
              <w:rPr>
                <w:rFonts w:ascii="Calibri" w:hAnsi="Calibri" w:cs="Calibri"/>
                <w:color w:val="000000"/>
              </w:rPr>
              <w:t>Palier 1</w:t>
            </w:r>
          </w:p>
        </w:tc>
        <w:tc>
          <w:tcPr>
            <w:tcW w:w="5280" w:type="dxa"/>
            <w:shd w:val="clear" w:color="auto" w:fill="auto"/>
            <w:noWrap/>
            <w:vAlign w:val="center"/>
          </w:tcPr>
          <w:p w14:paraId="6FE193FF" w14:textId="77777777" w:rsidR="0053537C" w:rsidRPr="00C703C2" w:rsidRDefault="0053537C" w:rsidP="004950C2">
            <w:pPr>
              <w:spacing w:after="0"/>
              <w:jc w:val="center"/>
              <w:rPr>
                <w:rFonts w:ascii="Calibri" w:hAnsi="Calibri" w:cs="Calibri"/>
                <w:color w:val="000000"/>
              </w:rPr>
            </w:pPr>
            <w:r>
              <w:rPr>
                <w:rFonts w:ascii="Calibri" w:hAnsi="Calibri" w:cs="Calibri"/>
                <w:color w:val="000000"/>
              </w:rPr>
              <w:t>Entre …………………… et ………………… jours</w:t>
            </w:r>
          </w:p>
        </w:tc>
        <w:tc>
          <w:tcPr>
            <w:tcW w:w="2511" w:type="dxa"/>
            <w:shd w:val="clear" w:color="auto" w:fill="auto"/>
            <w:noWrap/>
            <w:vAlign w:val="center"/>
          </w:tcPr>
          <w:p w14:paraId="3BF78111" w14:textId="77777777" w:rsidR="0053537C" w:rsidRPr="00B42B0F" w:rsidRDefault="0053537C" w:rsidP="004950C2">
            <w:pPr>
              <w:spacing w:after="0"/>
              <w:jc w:val="center"/>
              <w:rPr>
                <w:rFonts w:ascii="Calibri" w:hAnsi="Calibri" w:cs="Calibri"/>
                <w:color w:val="000000"/>
              </w:rPr>
            </w:pPr>
          </w:p>
        </w:tc>
      </w:tr>
    </w:tbl>
    <w:p w14:paraId="47943F8A" w14:textId="77777777" w:rsidR="00A97A86" w:rsidRDefault="00A97A86" w:rsidP="00C703C2">
      <w:pPr>
        <w:jc w:val="center"/>
      </w:pPr>
    </w:p>
    <w:p w14:paraId="1D5664D5" w14:textId="1A6FFEDC" w:rsidR="008F0E5C" w:rsidRDefault="00F00C00" w:rsidP="00F00C00">
      <w:pPr>
        <w:jc w:val="both"/>
      </w:pPr>
      <w:r w:rsidRPr="00F00C00">
        <w:rPr>
          <w:u w:val="single"/>
        </w:rPr>
        <w:t>Modalités de calcul du délai global de paiement</w:t>
      </w:r>
      <w:r>
        <w:t xml:space="preserve"> : le point de départ du délai global de paiement est la date de réception de la facture au Pôle Pharmacie, l’expiration du délai global de paiement étant la date du règlement par la Trésorerie du CHU de Rennes. </w:t>
      </w:r>
    </w:p>
    <w:p w14:paraId="6D380DA2" w14:textId="5F6B329B" w:rsidR="00F00C00" w:rsidRDefault="008F0E5C" w:rsidP="008F0E5C">
      <w:r>
        <w:br w:type="page"/>
      </w:r>
    </w:p>
    <w:p w14:paraId="1666EEBD" w14:textId="290F51AE" w:rsidR="00A97A86" w:rsidRPr="000D41CC" w:rsidRDefault="00A97A86" w:rsidP="000D41CC">
      <w:pPr>
        <w:rPr>
          <w:b/>
          <w:sz w:val="24"/>
          <w:u w:val="single"/>
        </w:rPr>
      </w:pPr>
      <w:r w:rsidRPr="000D41CC">
        <w:rPr>
          <w:b/>
          <w:sz w:val="24"/>
          <w:u w:val="single"/>
        </w:rPr>
        <w:lastRenderedPageBreak/>
        <w:t>2) R</w:t>
      </w:r>
      <w:r w:rsidR="00F257C2">
        <w:rPr>
          <w:b/>
          <w:sz w:val="24"/>
          <w:u w:val="single"/>
        </w:rPr>
        <w:t>istourne</w:t>
      </w:r>
      <w:r w:rsidRPr="000D41CC">
        <w:rPr>
          <w:b/>
          <w:sz w:val="24"/>
          <w:u w:val="single"/>
        </w:rPr>
        <w:t xml:space="preserve"> sur chiffre d’affaires</w:t>
      </w:r>
    </w:p>
    <w:p w14:paraId="05E17459" w14:textId="115FB2E2" w:rsidR="00D043FE" w:rsidRDefault="00CA74C5" w:rsidP="00D043FE">
      <w:pPr>
        <w:jc w:val="both"/>
      </w:pPr>
      <w:r w:rsidRPr="00CA74C5">
        <w:rPr>
          <w:u w:val="single"/>
        </w:rPr>
        <w:t>Notice</w:t>
      </w:r>
      <w:r w:rsidRPr="00CA74C5">
        <w:t xml:space="preserve"> :</w:t>
      </w:r>
      <w:r>
        <w:t xml:space="preserve"> </w:t>
      </w:r>
      <w:r w:rsidR="00521C28">
        <w:t xml:space="preserve">Le candidat propose </w:t>
      </w:r>
      <w:r w:rsidR="00973263">
        <w:t xml:space="preserve">dans le tableau ci-dessous </w:t>
      </w:r>
      <w:r w:rsidR="00521C28">
        <w:t>des</w:t>
      </w:r>
      <w:r w:rsidR="00D043FE">
        <w:t xml:space="preserve"> taux de r</w:t>
      </w:r>
      <w:r w:rsidR="00F257C2">
        <w:t>istourne</w:t>
      </w:r>
      <w:r w:rsidR="00716D1B">
        <w:t xml:space="preserve"> au regard d</w:t>
      </w:r>
      <w:r w:rsidR="008C2E03">
        <w:t>e</w:t>
      </w:r>
      <w:r>
        <w:t xml:space="preserve"> seuil</w:t>
      </w:r>
      <w:r w:rsidR="00521C28">
        <w:t>s</w:t>
      </w:r>
      <w:r>
        <w:t xml:space="preserve"> de </w:t>
      </w:r>
      <w:r w:rsidR="00D043FE">
        <w:t>Chiffre d’Affaires (</w:t>
      </w:r>
      <w:r w:rsidR="00C747CA">
        <w:t>CA</w:t>
      </w:r>
      <w:r w:rsidR="00D043FE">
        <w:t>)</w:t>
      </w:r>
      <w:r w:rsidR="00124955">
        <w:t xml:space="preserve">. </w:t>
      </w:r>
      <w:r w:rsidR="008C2E03">
        <w:t xml:space="preserve">Il est attendu 3 </w:t>
      </w:r>
      <w:r w:rsidR="00F00C00">
        <w:t>paliers</w:t>
      </w:r>
      <w:r w:rsidR="008C2E03">
        <w:t xml:space="preserve"> de chiffre d’affaires différents. </w:t>
      </w:r>
      <w:r w:rsidR="00D043FE">
        <w:t>L’application des taux de r</w:t>
      </w:r>
      <w:r w:rsidR="00F257C2">
        <w:t>istourne</w:t>
      </w:r>
      <w:r w:rsidR="00D043FE">
        <w:t xml:space="preserve"> </w:t>
      </w:r>
      <w:r w:rsidR="00521C28">
        <w:t xml:space="preserve">sur CA </w:t>
      </w:r>
      <w:r w:rsidR="00D043FE">
        <w:t>est précisé</w:t>
      </w:r>
      <w:r w:rsidR="001F7B6B">
        <w:t>e</w:t>
      </w:r>
      <w:r w:rsidR="00D043FE">
        <w:t xml:space="preserve"> à l’article </w:t>
      </w:r>
      <w:r w:rsidR="001F7B6B">
        <w:t>11.4</w:t>
      </w:r>
      <w:r w:rsidR="00D043FE">
        <w:t xml:space="preserve"> du Cahier des Clauses Administratives Particulières.</w:t>
      </w:r>
      <w:r w:rsidR="00973263">
        <w:t xml:space="preserve"> Le périmètre considéré pour le </w:t>
      </w:r>
      <w:r w:rsidR="009D43CA">
        <w:t xml:space="preserve">calcul du </w:t>
      </w:r>
      <w:r w:rsidR="00E500F9">
        <w:t>CA correspond à celui des d</w:t>
      </w:r>
      <w:r w:rsidR="00973263">
        <w:t xml:space="preserve">ispositifs </w:t>
      </w:r>
      <w:r w:rsidR="00E500F9">
        <w:t xml:space="preserve">retenus </w:t>
      </w:r>
      <w:r w:rsidR="00E500F9" w:rsidRPr="00A45BCC">
        <w:rPr>
          <w:u w:val="single"/>
        </w:rPr>
        <w:t>sur le lot concerné</w:t>
      </w:r>
      <w:r w:rsidR="00A45BCC">
        <w:t xml:space="preserve"> uniquement</w:t>
      </w:r>
      <w:r w:rsidR="00973263">
        <w:t>.</w:t>
      </w:r>
    </w:p>
    <w:p w14:paraId="353929D6" w14:textId="77777777" w:rsidR="00D043FE" w:rsidRDefault="00D043FE" w:rsidP="00716D1B">
      <w:pPr>
        <w:jc w:val="both"/>
      </w:pPr>
    </w:p>
    <w:tbl>
      <w:tblPr>
        <w:tblW w:w="9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82"/>
        <w:gridCol w:w="5284"/>
        <w:gridCol w:w="2507"/>
      </w:tblGrid>
      <w:tr w:rsidR="00571B2F" w:rsidRPr="00B42B0F" w14:paraId="3F846723" w14:textId="77777777" w:rsidTr="00500F08">
        <w:trPr>
          <w:trHeight w:val="648"/>
          <w:jc w:val="center"/>
        </w:trPr>
        <w:tc>
          <w:tcPr>
            <w:tcW w:w="2082" w:type="dxa"/>
            <w:vAlign w:val="center"/>
          </w:tcPr>
          <w:p w14:paraId="6D06D6B9" w14:textId="77777777" w:rsidR="00571B2F" w:rsidRDefault="00571B2F" w:rsidP="004950C2">
            <w:pPr>
              <w:spacing w:after="0"/>
              <w:jc w:val="center"/>
              <w:rPr>
                <w:rFonts w:ascii="Calibri" w:hAnsi="Calibri" w:cs="Calibri"/>
                <w:b/>
                <w:bCs/>
                <w:color w:val="000000"/>
              </w:rPr>
            </w:pPr>
            <w:r>
              <w:rPr>
                <w:rFonts w:ascii="Calibri" w:hAnsi="Calibri" w:cs="Calibri"/>
                <w:b/>
                <w:bCs/>
                <w:color w:val="000000"/>
              </w:rPr>
              <w:t>Paliers</w:t>
            </w:r>
          </w:p>
        </w:tc>
        <w:tc>
          <w:tcPr>
            <w:tcW w:w="5284" w:type="dxa"/>
            <w:shd w:val="clear" w:color="auto" w:fill="auto"/>
            <w:vAlign w:val="center"/>
            <w:hideMark/>
          </w:tcPr>
          <w:p w14:paraId="3A686B32" w14:textId="77777777" w:rsidR="00571B2F" w:rsidRPr="00CE3859" w:rsidRDefault="00571B2F" w:rsidP="004950C2">
            <w:pPr>
              <w:spacing w:after="0"/>
              <w:jc w:val="center"/>
              <w:rPr>
                <w:rFonts w:ascii="Calibri" w:hAnsi="Calibri" w:cs="Calibri"/>
                <w:b/>
                <w:bCs/>
                <w:color w:val="000000"/>
              </w:rPr>
            </w:pPr>
            <w:r>
              <w:rPr>
                <w:rFonts w:ascii="Calibri" w:hAnsi="Calibri" w:cs="Calibri"/>
                <w:b/>
                <w:bCs/>
                <w:color w:val="000000"/>
              </w:rPr>
              <w:t>Seuils de chiffre d’affaires HT sur 12 mois</w:t>
            </w:r>
          </w:p>
        </w:tc>
        <w:tc>
          <w:tcPr>
            <w:tcW w:w="2507" w:type="dxa"/>
            <w:shd w:val="clear" w:color="auto" w:fill="auto"/>
            <w:vAlign w:val="center"/>
            <w:hideMark/>
          </w:tcPr>
          <w:p w14:paraId="52E53DE5" w14:textId="6F4A98E0" w:rsidR="00571B2F" w:rsidRPr="00B42B0F" w:rsidRDefault="00571B2F" w:rsidP="00F257C2">
            <w:pPr>
              <w:spacing w:after="0"/>
              <w:jc w:val="center"/>
              <w:rPr>
                <w:rFonts w:ascii="Calibri" w:hAnsi="Calibri" w:cs="Calibri"/>
                <w:b/>
                <w:bCs/>
                <w:color w:val="000000"/>
              </w:rPr>
            </w:pPr>
            <w:r>
              <w:rPr>
                <w:rFonts w:ascii="Calibri" w:hAnsi="Calibri" w:cs="Calibri"/>
                <w:b/>
                <w:bCs/>
                <w:color w:val="000000"/>
              </w:rPr>
              <w:t>Taux de r</w:t>
            </w:r>
            <w:r w:rsidR="00F257C2">
              <w:rPr>
                <w:rFonts w:ascii="Calibri" w:hAnsi="Calibri" w:cs="Calibri"/>
                <w:b/>
                <w:bCs/>
                <w:color w:val="000000"/>
              </w:rPr>
              <w:t>istourne</w:t>
            </w:r>
            <w:r w:rsidRPr="00CE3859">
              <w:rPr>
                <w:rFonts w:ascii="Calibri" w:hAnsi="Calibri" w:cs="Calibri"/>
                <w:b/>
                <w:bCs/>
                <w:color w:val="000000"/>
              </w:rPr>
              <w:t xml:space="preserve"> </w:t>
            </w:r>
            <w:r>
              <w:rPr>
                <w:rFonts w:ascii="Calibri" w:hAnsi="Calibri" w:cs="Calibri"/>
                <w:b/>
                <w:bCs/>
                <w:color w:val="000000"/>
              </w:rPr>
              <w:t>en %</w:t>
            </w:r>
          </w:p>
        </w:tc>
      </w:tr>
      <w:tr w:rsidR="00571B2F" w:rsidRPr="00B42B0F" w14:paraId="1862A853" w14:textId="77777777" w:rsidTr="00500F08">
        <w:trPr>
          <w:trHeight w:val="685"/>
          <w:jc w:val="center"/>
        </w:trPr>
        <w:tc>
          <w:tcPr>
            <w:tcW w:w="2082" w:type="dxa"/>
            <w:vAlign w:val="center"/>
          </w:tcPr>
          <w:p w14:paraId="55758799" w14:textId="77777777" w:rsidR="00571B2F" w:rsidRDefault="00571B2F" w:rsidP="00D043FE">
            <w:pPr>
              <w:spacing w:after="0"/>
              <w:jc w:val="center"/>
              <w:rPr>
                <w:rFonts w:ascii="Calibri" w:hAnsi="Calibri" w:cs="Calibri"/>
                <w:color w:val="000000"/>
              </w:rPr>
            </w:pPr>
            <w:r>
              <w:rPr>
                <w:rFonts w:ascii="Calibri" w:hAnsi="Calibri" w:cs="Calibri"/>
                <w:color w:val="000000"/>
              </w:rPr>
              <w:t>Palier 3</w:t>
            </w:r>
          </w:p>
        </w:tc>
        <w:tc>
          <w:tcPr>
            <w:tcW w:w="5284" w:type="dxa"/>
            <w:shd w:val="clear" w:color="auto" w:fill="auto"/>
            <w:noWrap/>
            <w:vAlign w:val="center"/>
            <w:hideMark/>
          </w:tcPr>
          <w:p w14:paraId="18DFE947" w14:textId="77777777" w:rsidR="00571B2F" w:rsidRPr="00C703C2" w:rsidRDefault="00571B2F" w:rsidP="00D043FE">
            <w:pPr>
              <w:spacing w:after="0"/>
              <w:jc w:val="center"/>
              <w:rPr>
                <w:rFonts w:ascii="Calibri" w:hAnsi="Calibri" w:cs="Calibri"/>
                <w:color w:val="000000"/>
              </w:rPr>
            </w:pPr>
            <w:r>
              <w:rPr>
                <w:rFonts w:ascii="Calibri" w:hAnsi="Calibri" w:cs="Calibri"/>
                <w:color w:val="000000"/>
              </w:rPr>
              <w:t>CA ≥ ………………</w:t>
            </w:r>
            <w:proofErr w:type="gramStart"/>
            <w:r w:rsidR="00500F08">
              <w:rPr>
                <w:rFonts w:ascii="Calibri" w:hAnsi="Calibri" w:cs="Calibri"/>
                <w:color w:val="000000"/>
              </w:rPr>
              <w:t>…….</w:t>
            </w:r>
            <w:proofErr w:type="gramEnd"/>
            <w:r w:rsidR="00500F08">
              <w:rPr>
                <w:rFonts w:ascii="Calibri" w:hAnsi="Calibri" w:cs="Calibri"/>
                <w:color w:val="000000"/>
              </w:rPr>
              <w:t>.…………</w:t>
            </w:r>
            <w:r>
              <w:rPr>
                <w:rFonts w:ascii="Calibri" w:hAnsi="Calibri" w:cs="Calibri"/>
                <w:color w:val="000000"/>
              </w:rPr>
              <w:t>…… €</w:t>
            </w:r>
          </w:p>
        </w:tc>
        <w:tc>
          <w:tcPr>
            <w:tcW w:w="2507" w:type="dxa"/>
            <w:shd w:val="clear" w:color="auto" w:fill="auto"/>
            <w:noWrap/>
            <w:vAlign w:val="center"/>
          </w:tcPr>
          <w:p w14:paraId="61050376" w14:textId="77777777" w:rsidR="00571B2F" w:rsidRPr="00B42B0F" w:rsidRDefault="00571B2F" w:rsidP="004950C2">
            <w:pPr>
              <w:spacing w:after="0"/>
              <w:jc w:val="center"/>
              <w:rPr>
                <w:rFonts w:ascii="Calibri" w:hAnsi="Calibri" w:cs="Calibri"/>
                <w:color w:val="000000"/>
              </w:rPr>
            </w:pPr>
          </w:p>
        </w:tc>
      </w:tr>
      <w:tr w:rsidR="00571B2F" w:rsidRPr="00B42B0F" w14:paraId="7A7B43E6" w14:textId="77777777" w:rsidTr="00500F08">
        <w:trPr>
          <w:trHeight w:val="709"/>
          <w:jc w:val="center"/>
        </w:trPr>
        <w:tc>
          <w:tcPr>
            <w:tcW w:w="2082" w:type="dxa"/>
            <w:vAlign w:val="center"/>
          </w:tcPr>
          <w:p w14:paraId="1BE0458E" w14:textId="77777777" w:rsidR="00571B2F" w:rsidRDefault="00571B2F" w:rsidP="00D043FE">
            <w:pPr>
              <w:spacing w:after="0"/>
              <w:jc w:val="center"/>
              <w:rPr>
                <w:rFonts w:ascii="Calibri" w:hAnsi="Calibri" w:cs="Calibri"/>
                <w:color w:val="000000"/>
              </w:rPr>
            </w:pPr>
            <w:r>
              <w:rPr>
                <w:rFonts w:ascii="Calibri" w:hAnsi="Calibri" w:cs="Calibri"/>
                <w:color w:val="000000"/>
              </w:rPr>
              <w:t>Palier 2</w:t>
            </w:r>
          </w:p>
        </w:tc>
        <w:tc>
          <w:tcPr>
            <w:tcW w:w="5284" w:type="dxa"/>
            <w:shd w:val="clear" w:color="auto" w:fill="auto"/>
            <w:noWrap/>
            <w:vAlign w:val="center"/>
          </w:tcPr>
          <w:p w14:paraId="05D9246B" w14:textId="77777777" w:rsidR="00571B2F" w:rsidRPr="00C703C2" w:rsidRDefault="00571B2F" w:rsidP="00D043FE">
            <w:pPr>
              <w:spacing w:after="0"/>
              <w:jc w:val="center"/>
              <w:rPr>
                <w:rFonts w:ascii="Calibri" w:hAnsi="Calibri" w:cs="Calibri"/>
                <w:color w:val="000000"/>
              </w:rPr>
            </w:pPr>
            <w:r>
              <w:rPr>
                <w:rFonts w:ascii="Calibri" w:hAnsi="Calibri" w:cs="Calibri"/>
                <w:color w:val="000000"/>
              </w:rPr>
              <w:t>………………</w:t>
            </w:r>
            <w:r w:rsidR="00500F08">
              <w:rPr>
                <w:rFonts w:ascii="Calibri" w:hAnsi="Calibri" w:cs="Calibri"/>
                <w:color w:val="000000"/>
              </w:rPr>
              <w:t>………</w:t>
            </w:r>
            <w:r>
              <w:rPr>
                <w:rFonts w:ascii="Calibri" w:hAnsi="Calibri" w:cs="Calibri"/>
                <w:color w:val="000000"/>
              </w:rPr>
              <w:t>…….. € ≤ CA &lt; ……</w:t>
            </w:r>
            <w:proofErr w:type="gramStart"/>
            <w:r w:rsidR="00500F08">
              <w:rPr>
                <w:rFonts w:ascii="Calibri" w:hAnsi="Calibri" w:cs="Calibri"/>
                <w:color w:val="000000"/>
              </w:rPr>
              <w:t>…….</w:t>
            </w:r>
            <w:proofErr w:type="gramEnd"/>
            <w:r>
              <w:rPr>
                <w:rFonts w:ascii="Calibri" w:hAnsi="Calibri" w:cs="Calibri"/>
                <w:color w:val="000000"/>
              </w:rPr>
              <w:t>………………. €</w:t>
            </w:r>
          </w:p>
        </w:tc>
        <w:tc>
          <w:tcPr>
            <w:tcW w:w="2507" w:type="dxa"/>
            <w:shd w:val="clear" w:color="auto" w:fill="auto"/>
            <w:noWrap/>
            <w:vAlign w:val="center"/>
          </w:tcPr>
          <w:p w14:paraId="7656C973" w14:textId="77777777" w:rsidR="00571B2F" w:rsidRPr="00B42B0F" w:rsidRDefault="00571B2F" w:rsidP="004950C2">
            <w:pPr>
              <w:spacing w:after="0"/>
              <w:jc w:val="center"/>
              <w:rPr>
                <w:rFonts w:ascii="Calibri" w:hAnsi="Calibri" w:cs="Calibri"/>
                <w:color w:val="000000"/>
              </w:rPr>
            </w:pPr>
          </w:p>
        </w:tc>
      </w:tr>
      <w:tr w:rsidR="00500F08" w:rsidRPr="00B42B0F" w14:paraId="5259324D" w14:textId="77777777" w:rsidTr="00500F08">
        <w:trPr>
          <w:trHeight w:val="692"/>
          <w:jc w:val="center"/>
        </w:trPr>
        <w:tc>
          <w:tcPr>
            <w:tcW w:w="2082" w:type="dxa"/>
            <w:vAlign w:val="center"/>
          </w:tcPr>
          <w:p w14:paraId="65E8C9F6" w14:textId="77777777" w:rsidR="00500F08" w:rsidRDefault="00500F08" w:rsidP="00500F08">
            <w:pPr>
              <w:spacing w:after="0"/>
              <w:jc w:val="center"/>
              <w:rPr>
                <w:rFonts w:ascii="Calibri" w:hAnsi="Calibri" w:cs="Calibri"/>
                <w:color w:val="000000"/>
              </w:rPr>
            </w:pPr>
            <w:r>
              <w:rPr>
                <w:rFonts w:ascii="Calibri" w:hAnsi="Calibri" w:cs="Calibri"/>
                <w:color w:val="000000"/>
              </w:rPr>
              <w:t>Palier 1</w:t>
            </w:r>
          </w:p>
        </w:tc>
        <w:tc>
          <w:tcPr>
            <w:tcW w:w="5284" w:type="dxa"/>
            <w:shd w:val="clear" w:color="auto" w:fill="auto"/>
            <w:noWrap/>
            <w:vAlign w:val="center"/>
          </w:tcPr>
          <w:p w14:paraId="2E98C280" w14:textId="77777777" w:rsidR="00500F08" w:rsidRPr="00C703C2" w:rsidRDefault="00500F08" w:rsidP="00500F08">
            <w:pPr>
              <w:spacing w:after="0"/>
              <w:jc w:val="center"/>
              <w:rPr>
                <w:rFonts w:ascii="Calibri" w:hAnsi="Calibri" w:cs="Calibri"/>
                <w:color w:val="000000"/>
              </w:rPr>
            </w:pPr>
            <w:r>
              <w:rPr>
                <w:rFonts w:ascii="Calibri" w:hAnsi="Calibri" w:cs="Calibri"/>
                <w:color w:val="000000"/>
              </w:rPr>
              <w:t>…………………………….. € ≤ CA &lt; ……</w:t>
            </w:r>
            <w:proofErr w:type="gramStart"/>
            <w:r>
              <w:rPr>
                <w:rFonts w:ascii="Calibri" w:hAnsi="Calibri" w:cs="Calibri"/>
                <w:color w:val="000000"/>
              </w:rPr>
              <w:t>…….</w:t>
            </w:r>
            <w:proofErr w:type="gramEnd"/>
            <w:r>
              <w:rPr>
                <w:rFonts w:ascii="Calibri" w:hAnsi="Calibri" w:cs="Calibri"/>
                <w:color w:val="000000"/>
              </w:rPr>
              <w:t>………………. €</w:t>
            </w:r>
          </w:p>
        </w:tc>
        <w:tc>
          <w:tcPr>
            <w:tcW w:w="2507" w:type="dxa"/>
            <w:shd w:val="clear" w:color="auto" w:fill="auto"/>
            <w:noWrap/>
            <w:vAlign w:val="center"/>
          </w:tcPr>
          <w:p w14:paraId="356A8410" w14:textId="77777777" w:rsidR="00500F08" w:rsidRPr="00B42B0F" w:rsidRDefault="00500F08" w:rsidP="00500F08">
            <w:pPr>
              <w:spacing w:after="0"/>
              <w:jc w:val="center"/>
              <w:rPr>
                <w:rFonts w:ascii="Calibri" w:hAnsi="Calibri" w:cs="Calibri"/>
                <w:color w:val="000000"/>
              </w:rPr>
            </w:pPr>
          </w:p>
        </w:tc>
      </w:tr>
    </w:tbl>
    <w:p w14:paraId="42EBA1AB" w14:textId="77777777" w:rsidR="00980A2D" w:rsidRDefault="00980A2D" w:rsidP="00124955"/>
    <w:p w14:paraId="64A5F3F6" w14:textId="77777777" w:rsidR="007B1E28" w:rsidRDefault="007B1E28" w:rsidP="00124955"/>
    <w:p w14:paraId="4D8D1236" w14:textId="77777777" w:rsidR="007B1E28" w:rsidRDefault="007B1E28" w:rsidP="00124955"/>
    <w:p w14:paraId="38008666" w14:textId="77777777" w:rsidR="007B1E28" w:rsidRPr="00C9243B" w:rsidRDefault="007B1E28" w:rsidP="00124955">
      <w:r>
        <w:t>Signature :</w:t>
      </w:r>
    </w:p>
    <w:sectPr w:rsidR="007B1E28" w:rsidRPr="00C9243B" w:rsidSect="000C0B76">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27845" w14:textId="77777777" w:rsidR="00346DE6" w:rsidRDefault="00346DE6" w:rsidP="00346DE6">
      <w:pPr>
        <w:spacing w:after="0" w:line="240" w:lineRule="auto"/>
      </w:pPr>
      <w:r>
        <w:separator/>
      </w:r>
    </w:p>
  </w:endnote>
  <w:endnote w:type="continuationSeparator" w:id="0">
    <w:p w14:paraId="4C8A1466" w14:textId="77777777" w:rsidR="00346DE6" w:rsidRDefault="00346DE6" w:rsidP="00346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914139"/>
      <w:docPartObj>
        <w:docPartGallery w:val="Page Numbers (Bottom of Page)"/>
        <w:docPartUnique/>
      </w:docPartObj>
    </w:sdtPr>
    <w:sdtEndPr/>
    <w:sdtContent>
      <w:p w14:paraId="087725E1" w14:textId="172C0E1F" w:rsidR="00971918" w:rsidRDefault="00971918">
        <w:pPr>
          <w:pStyle w:val="Pieddepage"/>
          <w:jc w:val="center"/>
        </w:pPr>
        <w:r>
          <w:fldChar w:fldCharType="begin"/>
        </w:r>
        <w:r>
          <w:instrText>PAGE   \* MERGEFORMAT</w:instrText>
        </w:r>
        <w:r>
          <w:fldChar w:fldCharType="separate"/>
        </w:r>
        <w:r w:rsidR="00AB6990">
          <w:rPr>
            <w:noProof/>
          </w:rPr>
          <w:t>2</w:t>
        </w:r>
        <w:r>
          <w:fldChar w:fldCharType="end"/>
        </w:r>
      </w:p>
    </w:sdtContent>
  </w:sdt>
  <w:p w14:paraId="5DF4DFCF" w14:textId="77777777" w:rsidR="00971918" w:rsidRDefault="009719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0003D" w14:textId="77777777" w:rsidR="00346DE6" w:rsidRDefault="00346DE6" w:rsidP="00346DE6">
      <w:pPr>
        <w:spacing w:after="0" w:line="240" w:lineRule="auto"/>
      </w:pPr>
      <w:r>
        <w:separator/>
      </w:r>
    </w:p>
  </w:footnote>
  <w:footnote w:type="continuationSeparator" w:id="0">
    <w:p w14:paraId="765C70F2" w14:textId="77777777" w:rsidR="00346DE6" w:rsidRDefault="00346DE6" w:rsidP="00346D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A82C5" w14:textId="4122EC0B" w:rsidR="00346DE6" w:rsidRDefault="00346DE6" w:rsidP="00346DE6">
    <w:r>
      <w:t>A</w:t>
    </w:r>
    <w:r w:rsidR="00C9243B">
      <w:t>NNEXE</w:t>
    </w:r>
    <w:r>
      <w:t xml:space="preserve"> n°</w:t>
    </w:r>
    <w:r w:rsidR="00AB6990">
      <w:t>3</w:t>
    </w:r>
    <w:r w:rsidR="00971918">
      <w:t xml:space="preserve"> à l’A</w:t>
    </w:r>
    <w:r>
      <w:t>cte d’</w:t>
    </w:r>
    <w:r w:rsidR="00971918">
      <w:t>E</w:t>
    </w:r>
    <w:r>
      <w:t>ngagement</w:t>
    </w:r>
  </w:p>
  <w:p w14:paraId="34D77DC2" w14:textId="77777777" w:rsidR="00346DE6" w:rsidRDefault="00346DE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51189"/>
    <w:multiLevelType w:val="hybridMultilevel"/>
    <w:tmpl w:val="471A324C"/>
    <w:lvl w:ilvl="0" w:tplc="6AE8A4DE">
      <w:start w:val="4"/>
      <w:numFmt w:val="bullet"/>
      <w:lvlText w:val=""/>
      <w:lvlJc w:val="left"/>
      <w:pPr>
        <w:ind w:left="720" w:hanging="360"/>
      </w:pPr>
      <w:rPr>
        <w:rFonts w:ascii="Wingdings" w:eastAsiaTheme="minorHAns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E7D6F62"/>
    <w:multiLevelType w:val="hybridMultilevel"/>
    <w:tmpl w:val="8A2C5F5A"/>
    <w:lvl w:ilvl="0" w:tplc="BD58835A">
      <w:start w:val="4"/>
      <w:numFmt w:val="bullet"/>
      <w:lvlText w:val=""/>
      <w:lvlJc w:val="left"/>
      <w:pPr>
        <w:ind w:left="720" w:hanging="360"/>
      </w:pPr>
      <w:rPr>
        <w:rFonts w:ascii="Wingdings" w:eastAsiaTheme="minorHAns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DE6"/>
    <w:rsid w:val="000C0B76"/>
    <w:rsid w:val="000D41CC"/>
    <w:rsid w:val="001138B5"/>
    <w:rsid w:val="00124955"/>
    <w:rsid w:val="001F7B6B"/>
    <w:rsid w:val="00272E71"/>
    <w:rsid w:val="002B35E8"/>
    <w:rsid w:val="00305FEF"/>
    <w:rsid w:val="00346DE6"/>
    <w:rsid w:val="00350E7B"/>
    <w:rsid w:val="00360A9F"/>
    <w:rsid w:val="00500F08"/>
    <w:rsid w:val="00521C28"/>
    <w:rsid w:val="0053537C"/>
    <w:rsid w:val="00571B2F"/>
    <w:rsid w:val="006679AE"/>
    <w:rsid w:val="006965AD"/>
    <w:rsid w:val="006E122D"/>
    <w:rsid w:val="00716D1B"/>
    <w:rsid w:val="00730163"/>
    <w:rsid w:val="007A6C7F"/>
    <w:rsid w:val="007B1E28"/>
    <w:rsid w:val="007B7BCB"/>
    <w:rsid w:val="008A49E0"/>
    <w:rsid w:val="008C2E03"/>
    <w:rsid w:val="008F0E5C"/>
    <w:rsid w:val="00965027"/>
    <w:rsid w:val="00971918"/>
    <w:rsid w:val="00973263"/>
    <w:rsid w:val="00980A2D"/>
    <w:rsid w:val="009D43CA"/>
    <w:rsid w:val="00A45BCC"/>
    <w:rsid w:val="00A97A86"/>
    <w:rsid w:val="00AB6990"/>
    <w:rsid w:val="00B87259"/>
    <w:rsid w:val="00BC1DC0"/>
    <w:rsid w:val="00C703C2"/>
    <w:rsid w:val="00C747CA"/>
    <w:rsid w:val="00C8310A"/>
    <w:rsid w:val="00C9243B"/>
    <w:rsid w:val="00CA74C5"/>
    <w:rsid w:val="00CD1853"/>
    <w:rsid w:val="00D043FE"/>
    <w:rsid w:val="00D9067F"/>
    <w:rsid w:val="00D907FE"/>
    <w:rsid w:val="00E500F9"/>
    <w:rsid w:val="00E92E12"/>
    <w:rsid w:val="00EB4B77"/>
    <w:rsid w:val="00F00C00"/>
    <w:rsid w:val="00F108D0"/>
    <w:rsid w:val="00F23E8B"/>
    <w:rsid w:val="00F257C2"/>
    <w:rsid w:val="00F85F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E9A4F"/>
  <w15:chartTrackingRefBased/>
  <w15:docId w15:val="{73017879-E7CE-448A-A4D4-0D457BFE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46DE6"/>
    <w:pPr>
      <w:tabs>
        <w:tab w:val="center" w:pos="4536"/>
        <w:tab w:val="right" w:pos="9072"/>
      </w:tabs>
      <w:spacing w:after="0" w:line="240" w:lineRule="auto"/>
    </w:pPr>
  </w:style>
  <w:style w:type="character" w:customStyle="1" w:styleId="En-tteCar">
    <w:name w:val="En-tête Car"/>
    <w:basedOn w:val="Policepardfaut"/>
    <w:link w:val="En-tte"/>
    <w:uiPriority w:val="99"/>
    <w:rsid w:val="00346DE6"/>
  </w:style>
  <w:style w:type="paragraph" w:styleId="Pieddepage">
    <w:name w:val="footer"/>
    <w:basedOn w:val="Normal"/>
    <w:link w:val="PieddepageCar"/>
    <w:uiPriority w:val="99"/>
    <w:unhideWhenUsed/>
    <w:rsid w:val="00346D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46DE6"/>
  </w:style>
  <w:style w:type="paragraph" w:styleId="Paragraphedeliste">
    <w:name w:val="List Paragraph"/>
    <w:basedOn w:val="Normal"/>
    <w:uiPriority w:val="34"/>
    <w:qFormat/>
    <w:rsid w:val="00C703C2"/>
    <w:pPr>
      <w:ind w:left="720"/>
      <w:contextualSpacing/>
    </w:pPr>
  </w:style>
  <w:style w:type="character" w:styleId="Marquedecommentaire">
    <w:name w:val="annotation reference"/>
    <w:basedOn w:val="Policepardfaut"/>
    <w:uiPriority w:val="99"/>
    <w:semiHidden/>
    <w:unhideWhenUsed/>
    <w:rsid w:val="00F85F71"/>
    <w:rPr>
      <w:sz w:val="16"/>
      <w:szCs w:val="16"/>
    </w:rPr>
  </w:style>
  <w:style w:type="paragraph" w:styleId="Commentaire">
    <w:name w:val="annotation text"/>
    <w:basedOn w:val="Normal"/>
    <w:link w:val="CommentaireCar"/>
    <w:uiPriority w:val="99"/>
    <w:semiHidden/>
    <w:unhideWhenUsed/>
    <w:rsid w:val="00F85F71"/>
    <w:pPr>
      <w:spacing w:line="240" w:lineRule="auto"/>
    </w:pPr>
    <w:rPr>
      <w:sz w:val="20"/>
      <w:szCs w:val="20"/>
    </w:rPr>
  </w:style>
  <w:style w:type="character" w:customStyle="1" w:styleId="CommentaireCar">
    <w:name w:val="Commentaire Car"/>
    <w:basedOn w:val="Policepardfaut"/>
    <w:link w:val="Commentaire"/>
    <w:uiPriority w:val="99"/>
    <w:semiHidden/>
    <w:rsid w:val="00F85F71"/>
    <w:rPr>
      <w:sz w:val="20"/>
      <w:szCs w:val="20"/>
    </w:rPr>
  </w:style>
  <w:style w:type="paragraph" w:styleId="Objetducommentaire">
    <w:name w:val="annotation subject"/>
    <w:basedOn w:val="Commentaire"/>
    <w:next w:val="Commentaire"/>
    <w:link w:val="ObjetducommentaireCar"/>
    <w:uiPriority w:val="99"/>
    <w:semiHidden/>
    <w:unhideWhenUsed/>
    <w:rsid w:val="00F85F71"/>
    <w:rPr>
      <w:b/>
      <w:bCs/>
    </w:rPr>
  </w:style>
  <w:style w:type="character" w:customStyle="1" w:styleId="ObjetducommentaireCar">
    <w:name w:val="Objet du commentaire Car"/>
    <w:basedOn w:val="CommentaireCar"/>
    <w:link w:val="Objetducommentaire"/>
    <w:uiPriority w:val="99"/>
    <w:semiHidden/>
    <w:rsid w:val="00F85F71"/>
    <w:rPr>
      <w:b/>
      <w:bCs/>
      <w:sz w:val="20"/>
      <w:szCs w:val="20"/>
    </w:rPr>
  </w:style>
  <w:style w:type="paragraph" w:styleId="Textedebulles">
    <w:name w:val="Balloon Text"/>
    <w:basedOn w:val="Normal"/>
    <w:link w:val="TextedebullesCar"/>
    <w:uiPriority w:val="99"/>
    <w:semiHidden/>
    <w:unhideWhenUsed/>
    <w:rsid w:val="00F85F7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5F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E7326-425A-4CEA-94B1-1F793F73A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2</Pages>
  <Words>340</Words>
  <Characters>1874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CHU-Rennes</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LUANS Caroline</dc:creator>
  <cp:keywords/>
  <dc:description/>
  <cp:lastModifiedBy>HERY Paul emile</cp:lastModifiedBy>
  <cp:revision>46</cp:revision>
  <dcterms:created xsi:type="dcterms:W3CDTF">2024-07-24T13:54:00Z</dcterms:created>
  <dcterms:modified xsi:type="dcterms:W3CDTF">2025-09-17T08:47:00Z</dcterms:modified>
</cp:coreProperties>
</file>